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宋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宋体" w:eastAsia="黑体" w:hAnsi="黑体" w:hint="default"/>
        </w:rPr>
        <w:t>附件</w:t>
      </w:r>
    </w:p>
    <w:p>
      <w:pPr>
        <w:bidi w:val="0"/>
        <w:numPr>
          <w:ilvl w:val="0"/>
          <w:numId w:val="0"/>
        </w:numPr>
        <w:jc w:val="center"/>
        <w:spacing w:lineRule="exact" w:line="600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44"/>
          <w:szCs w:val="44"/>
          <w:rFonts w:ascii="宋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0"/>
          <w:color w:val="auto"/>
          <w:position w:val="0"/>
          <w:sz w:val="44"/>
          <w:szCs w:val="44"/>
          <w:rFonts w:ascii="宋体" w:eastAsia="方正小标宋简体" w:hAnsi="方正小标宋简体" w:hint="default"/>
        </w:rPr>
        <w:t>2018年度局重点工作考核评价体系</w:t>
      </w:r>
    </w:p>
    <w:tbl>
      <w:tblPr>
        <w:tblpPr w:vertAnchor="text" w:tblpX="-15" w:tblpY="164"/>
        <w:tblW w:w="8874" w:type="dxa"/>
        <w:tblLook w:val="000600" w:firstRow="0" w:lastRow="0" w:firstColumn="0" w:lastColumn="0" w:noHBand="1" w:noVBand="1"/>
      </w:tblPr>
      <w:tblGrid>
        <w:gridCol w:w="421"/>
        <w:gridCol w:w="944"/>
        <w:gridCol w:w="1162"/>
        <w:gridCol w:w="5282"/>
        <w:gridCol w:w="511"/>
        <w:gridCol w:w="554"/>
      </w:tblGrid>
      <w:tr>
        <w:trPr>
          <w:trHeight w:hRule="atleast" w:val="98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序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号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目标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及权重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责任科室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考核内容及分值(100分)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得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分</w:t>
            </w: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备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注</w:t>
            </w:r>
          </w:p>
        </w:tc>
      </w:tr>
      <w:tr>
        <w:trPr>
          <w:trHeight w:hRule="atleast" w:val="697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教育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管理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（20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%）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0"/>
                <w:szCs w:val="20"/>
                <w:rFonts w:ascii="宋体" w:eastAsia="Calibri" w:hAnsi="Calibri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教育科/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幼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教中心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1.深化德育质量提升工作，推进研学旅行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（30分）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2.规范办学行为，积极创建义务教育管理先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进校（30分）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3.积极采取措施，控制消除义务教育大班额（30分）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792"/>
        </w:trPr>
        <w:tc>
          <w:tcPr>
            <w:tcW w:type="dxa" w:w="42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44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162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0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1.规范办园行为，杜绝非法办园（50分）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0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2.加强经费管理和资金监管，杜绝乱收费；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严格公办园两条线管理（40分）</w:t>
            </w:r>
          </w:p>
        </w:tc>
        <w:tc>
          <w:tcPr>
            <w:tcW w:type="dxa" w:w="51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5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90"/>
        </w:trPr>
        <w:tc>
          <w:tcPr>
            <w:tcW w:type="dxa" w:w="42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44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发规科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加强学校法制教育，成建制学校完成一校一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章程(10分)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931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教育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教学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（30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%）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教研室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(职成科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/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幼教中心)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1.加强学科课程建设（20分）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2.落实教学常规（15分）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3.提高教学质量（15分）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exact" w:val="945"/>
        </w:trPr>
        <w:tc>
          <w:tcPr>
            <w:tcW w:type="dxa" w:w="42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44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教科所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1.承担、完成市级以上教科规划课题，组织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科研成果推广活动（10分） 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2.心理健康教育（10分）</w:t>
            </w:r>
          </w:p>
        </w:tc>
        <w:tc>
          <w:tcPr>
            <w:tcW w:type="dxa" w:w="51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5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900"/>
        </w:trPr>
        <w:tc>
          <w:tcPr>
            <w:tcW w:type="dxa" w:w="42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44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体卫艺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1.赛事活动（15分）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2.教育教学（10分）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3.健康教育（5分）</w:t>
            </w:r>
          </w:p>
        </w:tc>
        <w:tc>
          <w:tcPr>
            <w:tcW w:type="dxa" w:w="51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5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422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队伍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建设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（10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%）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人事科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1.校长教师轮岗交流(15分)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2.教职工管理(20分)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3.教师评先晋级(15分)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914"/>
        </w:trPr>
        <w:tc>
          <w:tcPr>
            <w:tcW w:type="dxa" w:w="42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4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师训科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1.师德师风建设（15分）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2.教师培训（20分）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3.校本研修与教师工作坊建设（15分）</w:t>
            </w:r>
          </w:p>
        </w:tc>
        <w:tc>
          <w:tcPr>
            <w:tcW w:type="dxa" w:w="51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5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trHeight w:hRule="atleast" w:val="972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教育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安全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（10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%）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安全办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1.安全教育演练（30分）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2.隐患排查整治（30分）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3.开展中小学幼儿园安全风险防控工作，积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极开展食品卫生、防溺水和校园欺凌、校车运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行安全、消防等综合治理工作（40分）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90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项目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建设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（20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%）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发规科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1.新、改、扩建项目（包括幼儿园建设）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(70分) 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 xml:space="preserve">2.改薄达标校建设(30分) 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555"/>
        </w:trPr>
        <w:tc>
          <w:tcPr>
            <w:tcW w:type="dxa" w:w="42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94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城市创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建(1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0%)</w:t>
            </w:r>
          </w:p>
        </w:tc>
        <w:tc>
          <w:tcPr>
            <w:tcW w:type="dxa" w:w="116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机关党委</w:t>
            </w:r>
          </w:p>
        </w:tc>
        <w:tc>
          <w:tcPr>
            <w:tcW w:type="dxa" w:w="5282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1.月督导考核（30分）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2.文明指数测评（20分）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3.创建办交办任务完成情况（50分）</w:t>
            </w:r>
          </w:p>
        </w:tc>
        <w:tc>
          <w:tcPr>
            <w:tcW w:type="dxa" w:w="511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  <w:tc>
          <w:tcPr>
            <w:tcW w:type="dxa" w:w="554"/>
            <w:tcMar>
              <w:left w:w="15" w:type="dxa"/>
              <w:right w:w="15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</w:p>
        </w:tc>
      </w:tr>
      <w:tr>
        <w:trPr>
          <w:trHeight w:hRule="atleast" w:val="283"/>
        </w:trPr>
        <w:tc>
          <w:tcPr>
            <w:tcW w:type="dxa" w:w="8874"/>
            <w:tcMar>
              <w:left w:w="15" w:type="dxa"/>
              <w:right w:w="15" w:type="dxa"/>
            </w:tcMar>
            <w:vAlign w:val="center"/>
            <w:gridSpan w:val="6"/>
            <w:tcBorders>
              <w:bottom w:val="single"/>
              <w:left w:val="single"/>
              <w:right w:val="single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说明：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1.“建设项目”一栏，无项目单位得分取同组有项目单位得分的平均分。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n"/>
              <w:autoSpaceDE w:val="1"/>
              <w:autoSpaceDN w:val="0"/>
            </w:pP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2.“教育教学”一栏，职业学校和幼儿园实行归口管理，分别由职成科和</w:t>
            </w:r>
            <w:r>
              <w:rPr>
                <w:rStyle w:val="PO1"/>
                <w:spacing w:val="0"/>
                <w:b w:val="0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幼教中心进行考核。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exact" w:line="600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44"/>
          <w:szCs w:val="44"/>
          <w:rFonts w:ascii="宋体" w:eastAsia="黑体" w:hAnsi="黑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7" w:h="16839"/>
      <w:pgMar w:top="1417" w:left="1530" w:bottom="1417" w:right="1530" w:header="851" w:footer="1417" w:gutter="0"/>
      <w:pgNumType w:fmt="decimal"/>
      <w:pgBorders w:display="allPages" w:offsetFrom="text" w:zOrder="front"/>
      <w:docGrid w:type="linesAndChars" w:linePitch="58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"/>
        <w:spacing w:val="0"/>
        <w:color w:val="auto"/>
        <w:position w:val="0"/>
        <w:sz w:val="32"/>
        <w:szCs w:val="32"/>
        <w:rFonts w:ascii="Times New Roman" w:eastAsia="仿宋_GB2312" w:hAnsi="仿宋_GB2312" w:hint="default"/>
      </w:rPr>
      <w:snapToGrid w:val="off"/>
      <w:autoSpaceDE w:val="1"/>
      <w:autoSpaceDN w:val="1"/>
    </w:pPr>
    <w:r>
      <w:rPr>
        <w:sz w:val="20"/>
      </w:rPr>
      <w:pict>
        <v:rect id="_x0000_s13" type="#_x0000_t1" style="position:absolute;left:0;margin-left:393pt;mso-position-horizontal:absolute;mso-position-horizontal-relative:margin;margin-top:0pt;mso-position-vertical:absolute;mso-position-vertical-relative:text;width:71.9pt;height:18.1pt;z-index:251624960;mso-wrap-style:none" stroked="f" filled="f">
          <v:textbox style="mso-fit-shape-to-text:t;" inset="0pt,0pt,0pt,0pt">
            <w:txbxContent>
              <w:p>
                <w:pPr>
                  <w:bidi w:val="0"/>
                  <w:numPr>
                    <w:ilvl w:val="0"/>
                    <w:numId w:val="0"/>
                  </w:numPr>
                  <w:jc w:val="left"/>
                  <w:spacing w:lineRule="auto" w:line="240" w:before="0" w:after="0"/>
                  <w:pageBreakBefore w:val="0"/>
                  <w:ind w:right="0" w:firstLine="0"/>
                  <w:tabs>
                    <w:tab w:val="center" w:pos="4153"/>
                    <w:tab w:val="right" w:pos="8306"/>
                  </w:tabs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snapToGrid w:val="off"/>
                  <w:autoSpaceDE w:val="1"/>
                  <w:autoSpaceDN w:val="1"/>
                </w:pPr>
                <w:r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t xml:space="preserve">— </w:t>
                </w:r>
                <w:r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t>1</w:t>
                </w:r>
                <w:r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fldChar w:fldCharType="end"/>
                </w:r>
                <w:r>
                  <w:rPr>
                    <w:rStyle w:val="PO153"/>
                    <w:spacing w:val="0"/>
                    <w:color w:val="auto"/>
                    <w:position w:val="0"/>
                    <w:sz w:val="28"/>
                    <w:szCs w:val="28"/>
                    <w:rFonts w:ascii="宋体" w:eastAsia="宋体" w:hAnsi="宋体" w:hint="default"/>
                  </w:rPr>
                  <w:t xml:space="preserve"> —</w:t>
                </w:r>
              </w:p>
            </w:txbxContent>
          </v:textbox>
        </v:rect>
      </w:pict>
    </w:r>
  </w:p>
</w:ft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4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2.xml"></Relationship><Relationship Id="rId6" Type="http://schemas.openxmlformats.org/officeDocument/2006/relationships/footer" Target="footer14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76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BOOT</dc:creator>
  <cp:lastModifiedBy/>
</cp:coreProperties>
</file>