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A0" w:rsidRPr="00021A2E" w:rsidRDefault="00C805C5" w:rsidP="00C805C5">
      <w:pPr>
        <w:rPr>
          <w:rFonts w:ascii="仿宋" w:eastAsia="仿宋" w:hAnsi="仿宋" w:cs="华文中宋"/>
          <w:sz w:val="32"/>
          <w:szCs w:val="36"/>
        </w:rPr>
      </w:pPr>
      <w:r w:rsidRPr="00021A2E">
        <w:rPr>
          <w:rFonts w:ascii="仿宋" w:eastAsia="仿宋" w:hAnsi="仿宋" w:cs="华文中宋" w:hint="eastAsia"/>
          <w:sz w:val="32"/>
          <w:szCs w:val="36"/>
        </w:rPr>
        <w:t>附件</w:t>
      </w:r>
      <w:r w:rsidR="00E64ED0">
        <w:rPr>
          <w:rFonts w:ascii="仿宋" w:eastAsia="仿宋" w:hAnsi="仿宋" w:cs="华文中宋" w:hint="eastAsia"/>
          <w:sz w:val="32"/>
          <w:szCs w:val="36"/>
        </w:rPr>
        <w:t>3</w:t>
      </w:r>
      <w:bookmarkStart w:id="0" w:name="_GoBack"/>
      <w:bookmarkEnd w:id="0"/>
      <w:r w:rsidRPr="00021A2E">
        <w:rPr>
          <w:rFonts w:ascii="仿宋" w:eastAsia="仿宋" w:hAnsi="仿宋" w:cs="华文中宋" w:hint="eastAsia"/>
          <w:sz w:val="32"/>
          <w:szCs w:val="36"/>
        </w:rPr>
        <w:t>：</w:t>
      </w:r>
    </w:p>
    <w:p w:rsidR="00021A2E" w:rsidRPr="006C79D2" w:rsidRDefault="00EB37B8" w:rsidP="00021A2E">
      <w:pPr>
        <w:jc w:val="center"/>
        <w:rPr>
          <w:rFonts w:ascii="华文中宋" w:eastAsia="华文中宋" w:hAnsi="华文中宋"/>
          <w:sz w:val="36"/>
          <w:szCs w:val="36"/>
        </w:rPr>
      </w:pPr>
      <w:r w:rsidRPr="006C79D2">
        <w:rPr>
          <w:rFonts w:ascii="华文中宋" w:eastAsia="华文中宋" w:hAnsi="华文中宋" w:hint="eastAsia"/>
          <w:sz w:val="36"/>
          <w:szCs w:val="36"/>
        </w:rPr>
        <w:t>中央指定地方实施行政许可事项</w:t>
      </w:r>
      <w:r w:rsidR="00FE1A87" w:rsidRPr="006C79D2">
        <w:rPr>
          <w:rFonts w:ascii="华文中宋" w:eastAsia="华文中宋" w:hAnsi="华文中宋" w:hint="eastAsia"/>
          <w:sz w:val="36"/>
          <w:szCs w:val="36"/>
        </w:rPr>
        <w:t>监管</w:t>
      </w:r>
      <w:r w:rsidR="00E00D8B">
        <w:rPr>
          <w:rFonts w:ascii="华文中宋" w:eastAsia="华文中宋" w:hAnsi="华文中宋" w:hint="eastAsia"/>
          <w:sz w:val="36"/>
          <w:szCs w:val="36"/>
        </w:rPr>
        <w:t>清单</w:t>
      </w:r>
    </w:p>
    <w:tbl>
      <w:tblPr>
        <w:tblW w:w="14996" w:type="dxa"/>
        <w:jc w:val="center"/>
        <w:tblCellSpacing w:w="0" w:type="dxa"/>
        <w:tblInd w:w="-443"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Layout w:type="fixed"/>
        <w:tblCellMar>
          <w:left w:w="0" w:type="dxa"/>
          <w:right w:w="0" w:type="dxa"/>
        </w:tblCellMar>
        <w:tblLook w:val="04A0" w:firstRow="1" w:lastRow="0" w:firstColumn="1" w:lastColumn="0" w:noHBand="0" w:noVBand="1"/>
      </w:tblPr>
      <w:tblGrid>
        <w:gridCol w:w="858"/>
        <w:gridCol w:w="1134"/>
        <w:gridCol w:w="1134"/>
        <w:gridCol w:w="7334"/>
        <w:gridCol w:w="1418"/>
        <w:gridCol w:w="1559"/>
        <w:gridCol w:w="1559"/>
      </w:tblGrid>
      <w:tr w:rsidR="00FE1A87" w:rsidRPr="00E53BA0" w:rsidTr="00021A2E">
        <w:trPr>
          <w:trHeight w:val="15"/>
          <w:tblCellSpacing w:w="0" w:type="dxa"/>
          <w:jc w:val="center"/>
        </w:trPr>
        <w:tc>
          <w:tcPr>
            <w:tcW w:w="858" w:type="dxa"/>
            <w:vAlign w:val="center"/>
            <w:hideMark/>
          </w:tcPr>
          <w:p w:rsidR="00FE1A87" w:rsidRPr="006C79D2" w:rsidRDefault="00FE1A87" w:rsidP="006C79D2">
            <w:pPr>
              <w:jc w:val="center"/>
              <w:rPr>
                <w:rFonts w:ascii="黑体" w:eastAsia="黑体" w:hAnsi="黑体"/>
                <w:sz w:val="18"/>
                <w:szCs w:val="21"/>
              </w:rPr>
            </w:pPr>
            <w:r w:rsidRPr="006C79D2">
              <w:rPr>
                <w:rFonts w:ascii="黑体" w:eastAsia="黑体" w:hAnsi="黑体"/>
                <w:sz w:val="18"/>
                <w:szCs w:val="21"/>
              </w:rPr>
              <w:t>项目</w:t>
            </w:r>
            <w:r w:rsidRPr="006C79D2">
              <w:rPr>
                <w:rFonts w:ascii="黑体" w:eastAsia="黑体" w:hAnsi="黑体" w:hint="eastAsia"/>
                <w:sz w:val="18"/>
                <w:szCs w:val="21"/>
              </w:rPr>
              <w:t>编码</w:t>
            </w:r>
          </w:p>
        </w:tc>
        <w:tc>
          <w:tcPr>
            <w:tcW w:w="1134" w:type="dxa"/>
            <w:vAlign w:val="center"/>
            <w:hideMark/>
          </w:tcPr>
          <w:p w:rsidR="00021A2E" w:rsidRPr="006C79D2" w:rsidRDefault="00FE1A87" w:rsidP="006C79D2">
            <w:pPr>
              <w:jc w:val="center"/>
              <w:rPr>
                <w:rFonts w:ascii="黑体" w:eastAsia="黑体" w:hAnsi="黑体"/>
                <w:sz w:val="18"/>
                <w:szCs w:val="21"/>
              </w:rPr>
            </w:pPr>
            <w:r w:rsidRPr="006C79D2">
              <w:rPr>
                <w:rFonts w:ascii="黑体" w:eastAsia="黑体" w:hAnsi="黑体"/>
                <w:sz w:val="18"/>
                <w:szCs w:val="21"/>
              </w:rPr>
              <w:t>项</w:t>
            </w:r>
            <w:r w:rsidRPr="006C79D2">
              <w:rPr>
                <w:rFonts w:ascii="黑体" w:eastAsia="黑体" w:hAnsi="黑体" w:hint="eastAsia"/>
                <w:sz w:val="18"/>
                <w:szCs w:val="21"/>
              </w:rPr>
              <w:t>目</w:t>
            </w:r>
          </w:p>
          <w:p w:rsidR="00FE1A87" w:rsidRPr="006C79D2" w:rsidRDefault="00FE1A87" w:rsidP="006C79D2">
            <w:pPr>
              <w:jc w:val="center"/>
              <w:rPr>
                <w:rFonts w:ascii="黑体" w:eastAsia="黑体" w:hAnsi="黑体"/>
                <w:sz w:val="18"/>
                <w:szCs w:val="21"/>
              </w:rPr>
            </w:pPr>
            <w:r w:rsidRPr="006C79D2">
              <w:rPr>
                <w:rFonts w:ascii="黑体" w:eastAsia="黑体" w:hAnsi="黑体"/>
                <w:sz w:val="18"/>
                <w:szCs w:val="21"/>
              </w:rPr>
              <w:t>名称</w:t>
            </w:r>
          </w:p>
        </w:tc>
        <w:tc>
          <w:tcPr>
            <w:tcW w:w="1134" w:type="dxa"/>
            <w:vAlign w:val="center"/>
            <w:hideMark/>
          </w:tcPr>
          <w:p w:rsidR="00021A2E" w:rsidRPr="006C79D2" w:rsidRDefault="00FE1A87" w:rsidP="006C79D2">
            <w:pPr>
              <w:jc w:val="center"/>
              <w:rPr>
                <w:rFonts w:ascii="黑体" w:eastAsia="黑体" w:hAnsi="黑体"/>
                <w:sz w:val="18"/>
                <w:szCs w:val="21"/>
              </w:rPr>
            </w:pPr>
            <w:r w:rsidRPr="006C79D2">
              <w:rPr>
                <w:rFonts w:ascii="黑体" w:eastAsia="黑体" w:hAnsi="黑体"/>
                <w:sz w:val="18"/>
                <w:szCs w:val="21"/>
              </w:rPr>
              <w:t>审批</w:t>
            </w:r>
          </w:p>
          <w:p w:rsidR="00FE1A87" w:rsidRPr="006C79D2" w:rsidRDefault="00FE1A87" w:rsidP="006C79D2">
            <w:pPr>
              <w:jc w:val="center"/>
              <w:rPr>
                <w:rFonts w:ascii="黑体" w:eastAsia="黑体" w:hAnsi="黑体"/>
                <w:sz w:val="18"/>
                <w:szCs w:val="21"/>
              </w:rPr>
            </w:pPr>
            <w:r w:rsidRPr="006C79D2">
              <w:rPr>
                <w:rFonts w:ascii="黑体" w:eastAsia="黑体" w:hAnsi="黑体" w:hint="eastAsia"/>
                <w:sz w:val="18"/>
                <w:szCs w:val="21"/>
              </w:rPr>
              <w:t>对象</w:t>
            </w:r>
          </w:p>
        </w:tc>
        <w:tc>
          <w:tcPr>
            <w:tcW w:w="7334" w:type="dxa"/>
            <w:vAlign w:val="center"/>
            <w:hideMark/>
          </w:tcPr>
          <w:p w:rsidR="00FE1A87" w:rsidRPr="006C79D2" w:rsidRDefault="00FE1A87" w:rsidP="006C79D2">
            <w:pPr>
              <w:jc w:val="center"/>
              <w:rPr>
                <w:rFonts w:ascii="黑体" w:eastAsia="黑体" w:hAnsi="黑体"/>
                <w:sz w:val="18"/>
                <w:szCs w:val="21"/>
              </w:rPr>
            </w:pPr>
            <w:r w:rsidRPr="006C79D2">
              <w:rPr>
                <w:rFonts w:ascii="黑体" w:eastAsia="黑体" w:hAnsi="黑体"/>
                <w:sz w:val="18"/>
                <w:szCs w:val="21"/>
              </w:rPr>
              <w:t>设定依据</w:t>
            </w:r>
          </w:p>
        </w:tc>
        <w:tc>
          <w:tcPr>
            <w:tcW w:w="1418" w:type="dxa"/>
            <w:vAlign w:val="center"/>
            <w:hideMark/>
          </w:tcPr>
          <w:p w:rsidR="00FE1A87" w:rsidRPr="006C79D2" w:rsidRDefault="00FE1A87" w:rsidP="006C79D2">
            <w:pPr>
              <w:jc w:val="center"/>
              <w:rPr>
                <w:rFonts w:ascii="黑体" w:eastAsia="黑体" w:hAnsi="黑体"/>
                <w:sz w:val="18"/>
                <w:szCs w:val="21"/>
              </w:rPr>
            </w:pPr>
            <w:r w:rsidRPr="006C79D2">
              <w:rPr>
                <w:rFonts w:ascii="黑体" w:eastAsia="黑体" w:hAnsi="黑体" w:hint="eastAsia"/>
                <w:sz w:val="18"/>
                <w:szCs w:val="21"/>
              </w:rPr>
              <w:t>审批层级和部门</w:t>
            </w:r>
          </w:p>
        </w:tc>
        <w:tc>
          <w:tcPr>
            <w:tcW w:w="1559" w:type="dxa"/>
            <w:vAlign w:val="center"/>
            <w:hideMark/>
          </w:tcPr>
          <w:p w:rsidR="00FE1A87" w:rsidRPr="006C79D2" w:rsidRDefault="00FE1A87" w:rsidP="006C79D2">
            <w:pPr>
              <w:jc w:val="center"/>
              <w:rPr>
                <w:rFonts w:ascii="黑体" w:eastAsia="黑体" w:hAnsi="黑体"/>
                <w:sz w:val="18"/>
                <w:szCs w:val="21"/>
              </w:rPr>
            </w:pPr>
            <w:r w:rsidRPr="006C79D2">
              <w:rPr>
                <w:rFonts w:ascii="黑体" w:eastAsia="黑体" w:hAnsi="黑体" w:hint="eastAsia"/>
                <w:sz w:val="18"/>
                <w:szCs w:val="21"/>
              </w:rPr>
              <w:t>中央业务指导部门</w:t>
            </w:r>
          </w:p>
        </w:tc>
        <w:tc>
          <w:tcPr>
            <w:tcW w:w="1559" w:type="dxa"/>
            <w:vAlign w:val="center"/>
          </w:tcPr>
          <w:p w:rsidR="00FE1A87" w:rsidRPr="006C79D2" w:rsidRDefault="00FE1A87" w:rsidP="006C79D2">
            <w:pPr>
              <w:jc w:val="center"/>
              <w:rPr>
                <w:rFonts w:ascii="黑体" w:eastAsia="黑体" w:hAnsi="黑体"/>
                <w:sz w:val="18"/>
                <w:szCs w:val="21"/>
              </w:rPr>
            </w:pPr>
            <w:r w:rsidRPr="006C79D2">
              <w:rPr>
                <w:rFonts w:ascii="黑体" w:eastAsia="黑体" w:hAnsi="黑体" w:hint="eastAsia"/>
                <w:sz w:val="18"/>
                <w:szCs w:val="21"/>
              </w:rPr>
              <w:t>监管部门</w:t>
            </w:r>
          </w:p>
        </w:tc>
      </w:tr>
      <w:tr w:rsidR="00FE1A87" w:rsidRPr="006C79D2" w:rsidTr="00FE1A87">
        <w:trPr>
          <w:trHeight w:val="15"/>
          <w:tblCellSpacing w:w="0" w:type="dxa"/>
          <w:jc w:val="center"/>
        </w:trPr>
        <w:tc>
          <w:tcPr>
            <w:tcW w:w="85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D</w:t>
            </w:r>
            <w:r w:rsidRPr="006C79D2">
              <w:rPr>
                <w:rFonts w:ascii="仿宋" w:eastAsia="仿宋" w:hAnsi="仿宋"/>
                <w:szCs w:val="21"/>
              </w:rPr>
              <w:t>28001</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从事射击竞技体育运动单位审批</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事业单位、社会组织</w:t>
            </w:r>
          </w:p>
        </w:tc>
        <w:tc>
          <w:tcPr>
            <w:tcW w:w="73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中华人民共和国枪支管理法》（1996年7月5日主席令第72号，2015年4月24日予以修改）第六条：下列单位可以配置民用枪支：（一）经省级人民政府体育行政主管部门批准专门从事射击竞技体育运动的单位、经省级人民政府公安机关批准批准的营业性射击场，可以配置射击运动枪支。</w:t>
            </w:r>
          </w:p>
        </w:tc>
        <w:tc>
          <w:tcPr>
            <w:tcW w:w="141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体育主管部门(省、自治区、直辖市)</w:t>
            </w:r>
          </w:p>
        </w:tc>
        <w:tc>
          <w:tcPr>
            <w:tcW w:w="1559"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体育总局</w:t>
            </w:r>
          </w:p>
        </w:tc>
        <w:tc>
          <w:tcPr>
            <w:tcW w:w="1559" w:type="dxa"/>
            <w:vAlign w:val="center"/>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经济司</w:t>
            </w:r>
          </w:p>
        </w:tc>
      </w:tr>
      <w:tr w:rsidR="00FE1A87" w:rsidRPr="006C79D2" w:rsidTr="00FE1A87">
        <w:trPr>
          <w:trHeight w:val="15"/>
          <w:tblCellSpacing w:w="0" w:type="dxa"/>
          <w:jc w:val="center"/>
        </w:trPr>
        <w:tc>
          <w:tcPr>
            <w:tcW w:w="85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D</w:t>
            </w:r>
            <w:r w:rsidRPr="006C79D2">
              <w:rPr>
                <w:rFonts w:ascii="仿宋" w:eastAsia="仿宋" w:hAnsi="仿宋"/>
                <w:szCs w:val="21"/>
              </w:rPr>
              <w:t>28002</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经营高危险性体育项目许可</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企业、个体工商户</w:t>
            </w:r>
          </w:p>
        </w:tc>
        <w:tc>
          <w:tcPr>
            <w:tcW w:w="73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全民健身条例》（2009年8月30日国务院令第560号，2016年2月6日予以修改）第三十二条：企业、个体工商户经营高危险性体育项目的，应当符合下列条件，并向县级以上人民政府体育主管部门提出申请……县级以上人民政府体育主管部门应当自收到申请之日起30日内进行实地核查，做出批准或者不予批准的决定。批准的，应当发给许可证；不予批准的，应当书面通知申请人并说明理由。</w:t>
            </w:r>
          </w:p>
          <w:p w:rsidR="0051160B" w:rsidRPr="006C79D2" w:rsidRDefault="00FE1A87" w:rsidP="006C79D2">
            <w:pPr>
              <w:jc w:val="center"/>
              <w:rPr>
                <w:rFonts w:ascii="仿宋" w:eastAsia="仿宋" w:hAnsi="仿宋"/>
                <w:szCs w:val="21"/>
              </w:rPr>
            </w:pPr>
            <w:r w:rsidRPr="006C79D2">
              <w:rPr>
                <w:rFonts w:ascii="仿宋" w:eastAsia="仿宋" w:hAnsi="仿宋" w:hint="eastAsia"/>
                <w:szCs w:val="21"/>
              </w:rPr>
              <w:t xml:space="preserve"> 《国务院关于取消和下放一批行政审批项目等事项的决定》（国发〔2013〕19号）第91项：经营高危险性体育项目许可，下放至省级以下体育行政主管部门。</w:t>
            </w:r>
          </w:p>
        </w:tc>
        <w:tc>
          <w:tcPr>
            <w:tcW w:w="141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体育主管部门（省、市、县）</w:t>
            </w:r>
          </w:p>
        </w:tc>
        <w:tc>
          <w:tcPr>
            <w:tcW w:w="1559"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体育总局</w:t>
            </w:r>
          </w:p>
        </w:tc>
        <w:tc>
          <w:tcPr>
            <w:tcW w:w="1559" w:type="dxa"/>
            <w:vAlign w:val="center"/>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经济司</w:t>
            </w:r>
          </w:p>
        </w:tc>
      </w:tr>
      <w:tr w:rsidR="00FE1A87" w:rsidRPr="006C79D2" w:rsidTr="00FE1A87">
        <w:trPr>
          <w:trHeight w:val="15"/>
          <w:tblCellSpacing w:w="0" w:type="dxa"/>
          <w:jc w:val="center"/>
        </w:trPr>
        <w:tc>
          <w:tcPr>
            <w:tcW w:w="85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D</w:t>
            </w:r>
            <w:r w:rsidRPr="006C79D2">
              <w:rPr>
                <w:rFonts w:ascii="仿宋" w:eastAsia="仿宋" w:hAnsi="仿宋"/>
                <w:szCs w:val="21"/>
              </w:rPr>
              <w:t>28003</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举办健身气功活动及设立站点审批</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事业单位、企业、社会组织、个人</w:t>
            </w:r>
          </w:p>
        </w:tc>
        <w:tc>
          <w:tcPr>
            <w:tcW w:w="73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 xml:space="preserve">《国务院对确需保留的行政审批项目设定行政许可的决定》（2004年6月29日国务院令第412号,2009年1月29日予以修改）附件第336项：举办健身气功活动及设立站点审批。实施机关：县级以上人民政府体育行政主管部门。 </w:t>
            </w:r>
          </w:p>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 xml:space="preserve"> 《国务院关于第五批取消和下放管理层级行政审批项目的决定》（国发〔2010〕21号）第62项：设立健身气功活动站点审批，下放至县级人民政府体育行政主管部门。</w:t>
            </w:r>
          </w:p>
        </w:tc>
        <w:tc>
          <w:tcPr>
            <w:tcW w:w="141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举办活动：体育主管部门（省、市、县）设立站点：县级人民政府体育主管部门</w:t>
            </w:r>
          </w:p>
        </w:tc>
        <w:tc>
          <w:tcPr>
            <w:tcW w:w="1559"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体育总局</w:t>
            </w:r>
          </w:p>
        </w:tc>
        <w:tc>
          <w:tcPr>
            <w:tcW w:w="1559" w:type="dxa"/>
            <w:vAlign w:val="center"/>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群体司</w:t>
            </w:r>
          </w:p>
        </w:tc>
      </w:tr>
      <w:tr w:rsidR="00FE1A87" w:rsidRPr="006C79D2" w:rsidTr="00FE1A87">
        <w:trPr>
          <w:trHeight w:val="15"/>
          <w:tblCellSpacing w:w="0" w:type="dxa"/>
          <w:jc w:val="center"/>
        </w:trPr>
        <w:tc>
          <w:tcPr>
            <w:tcW w:w="85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D</w:t>
            </w:r>
            <w:r w:rsidRPr="006C79D2">
              <w:rPr>
                <w:rFonts w:ascii="仿宋" w:eastAsia="仿宋" w:hAnsi="仿宋"/>
                <w:szCs w:val="21"/>
              </w:rPr>
              <w:t>28004</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举办攀登山峰活动审批</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机关、事业单位、企业、</w:t>
            </w:r>
            <w:r w:rsidRPr="006C79D2">
              <w:rPr>
                <w:rFonts w:ascii="仿宋" w:eastAsia="仿宋" w:hAnsi="仿宋" w:hint="eastAsia"/>
                <w:szCs w:val="21"/>
              </w:rPr>
              <w:lastRenderedPageBreak/>
              <w:t>社会组织、个人</w:t>
            </w:r>
          </w:p>
        </w:tc>
        <w:tc>
          <w:tcPr>
            <w:tcW w:w="73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lastRenderedPageBreak/>
              <w:t>《国务院对确需保留的行政审批项目设定行政许可的决定》（2004年6月29日国务院令第412号,2009年1月29日予以修改）附件第335项：举办攀登山峰活动</w:t>
            </w:r>
            <w:r w:rsidRPr="006C79D2">
              <w:rPr>
                <w:rFonts w:ascii="仿宋" w:eastAsia="仿宋" w:hAnsi="仿宋" w:hint="eastAsia"/>
                <w:szCs w:val="21"/>
              </w:rPr>
              <w:lastRenderedPageBreak/>
              <w:t>审批。实施机关：体育总局、省级人民政府体育行政主管部门</w:t>
            </w:r>
          </w:p>
        </w:tc>
        <w:tc>
          <w:tcPr>
            <w:tcW w:w="141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lastRenderedPageBreak/>
              <w:t>体育主管部门（省、自治区、</w:t>
            </w:r>
            <w:r w:rsidRPr="006C79D2">
              <w:rPr>
                <w:rFonts w:ascii="仿宋" w:eastAsia="仿宋" w:hAnsi="仿宋" w:hint="eastAsia"/>
                <w:szCs w:val="21"/>
              </w:rPr>
              <w:lastRenderedPageBreak/>
              <w:t>直辖市）</w:t>
            </w:r>
          </w:p>
        </w:tc>
        <w:tc>
          <w:tcPr>
            <w:tcW w:w="1559"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lastRenderedPageBreak/>
              <w:t>体育总局</w:t>
            </w:r>
          </w:p>
        </w:tc>
        <w:tc>
          <w:tcPr>
            <w:tcW w:w="1559" w:type="dxa"/>
            <w:vAlign w:val="center"/>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群体司</w:t>
            </w:r>
          </w:p>
        </w:tc>
      </w:tr>
      <w:tr w:rsidR="00FE1A87" w:rsidRPr="006C79D2" w:rsidTr="00FE1A87">
        <w:trPr>
          <w:trHeight w:val="15"/>
          <w:tblCellSpacing w:w="0" w:type="dxa"/>
          <w:jc w:val="center"/>
        </w:trPr>
        <w:tc>
          <w:tcPr>
            <w:tcW w:w="85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lastRenderedPageBreak/>
              <w:t>D</w:t>
            </w:r>
            <w:r w:rsidRPr="006C79D2">
              <w:rPr>
                <w:rFonts w:ascii="仿宋" w:eastAsia="仿宋" w:hAnsi="仿宋"/>
                <w:szCs w:val="21"/>
              </w:rPr>
              <w:t>28005</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临时占用公共体育场（馆）设施审批</w:t>
            </w:r>
          </w:p>
        </w:tc>
        <w:tc>
          <w:tcPr>
            <w:tcW w:w="11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事业单位、企业、社会组织、个人</w:t>
            </w:r>
          </w:p>
        </w:tc>
        <w:tc>
          <w:tcPr>
            <w:tcW w:w="7334"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《中华人民共和国体育法》（1995年8月29日主席令第55号，2009年8月27日予以修改）第四十六条：因特殊情况需要临时占用体育设施的，必须经体育行政部门和建设规划部门批准。</w:t>
            </w:r>
          </w:p>
        </w:tc>
        <w:tc>
          <w:tcPr>
            <w:tcW w:w="1418"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体育主管部门（省、市、县）</w:t>
            </w:r>
          </w:p>
        </w:tc>
        <w:tc>
          <w:tcPr>
            <w:tcW w:w="1559" w:type="dxa"/>
            <w:vAlign w:val="center"/>
            <w:hideMark/>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体育总局</w:t>
            </w:r>
          </w:p>
        </w:tc>
        <w:tc>
          <w:tcPr>
            <w:tcW w:w="1559" w:type="dxa"/>
            <w:vAlign w:val="center"/>
          </w:tcPr>
          <w:p w:rsidR="00FE1A87" w:rsidRPr="006C79D2" w:rsidRDefault="00FE1A87" w:rsidP="006C79D2">
            <w:pPr>
              <w:jc w:val="center"/>
              <w:rPr>
                <w:rFonts w:ascii="仿宋" w:eastAsia="仿宋" w:hAnsi="仿宋"/>
                <w:szCs w:val="21"/>
              </w:rPr>
            </w:pPr>
            <w:r w:rsidRPr="006C79D2">
              <w:rPr>
                <w:rFonts w:ascii="仿宋" w:eastAsia="仿宋" w:hAnsi="仿宋" w:hint="eastAsia"/>
                <w:szCs w:val="21"/>
              </w:rPr>
              <w:t>经济司</w:t>
            </w:r>
          </w:p>
        </w:tc>
      </w:tr>
    </w:tbl>
    <w:p w:rsidR="00733898" w:rsidRPr="006C79D2" w:rsidRDefault="00733898" w:rsidP="006C79D2">
      <w:pPr>
        <w:jc w:val="center"/>
        <w:rPr>
          <w:rFonts w:ascii="仿宋" w:eastAsia="仿宋" w:hAnsi="仿宋"/>
          <w:szCs w:val="21"/>
        </w:rPr>
      </w:pPr>
    </w:p>
    <w:sectPr w:rsidR="00733898" w:rsidRPr="006C79D2" w:rsidSect="00D9394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DD" w:rsidRDefault="002D33DD" w:rsidP="000E52B4">
      <w:r>
        <w:separator/>
      </w:r>
    </w:p>
  </w:endnote>
  <w:endnote w:type="continuationSeparator" w:id="0">
    <w:p w:rsidR="002D33DD" w:rsidRDefault="002D33DD" w:rsidP="000E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187292"/>
      <w:docPartObj>
        <w:docPartGallery w:val="Page Numbers (Bottom of Page)"/>
        <w:docPartUnique/>
      </w:docPartObj>
    </w:sdtPr>
    <w:sdtEndPr/>
    <w:sdtContent>
      <w:p w:rsidR="00021A2E" w:rsidRDefault="00021A2E">
        <w:pPr>
          <w:pStyle w:val="a7"/>
          <w:jc w:val="center"/>
        </w:pPr>
        <w:r>
          <w:fldChar w:fldCharType="begin"/>
        </w:r>
        <w:r>
          <w:instrText>PAGE   \* MERGEFORMAT</w:instrText>
        </w:r>
        <w:r>
          <w:fldChar w:fldCharType="separate"/>
        </w:r>
        <w:r w:rsidR="002D33DD" w:rsidRPr="002D33DD">
          <w:rPr>
            <w:noProof/>
            <w:lang w:val="zh-CN"/>
          </w:rPr>
          <w:t>1</w:t>
        </w:r>
        <w:r>
          <w:fldChar w:fldCharType="end"/>
        </w:r>
      </w:p>
    </w:sdtContent>
  </w:sdt>
  <w:p w:rsidR="00021A2E" w:rsidRDefault="00021A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DD" w:rsidRDefault="002D33DD" w:rsidP="000E52B4">
      <w:r>
        <w:separator/>
      </w:r>
    </w:p>
  </w:footnote>
  <w:footnote w:type="continuationSeparator" w:id="0">
    <w:p w:rsidR="002D33DD" w:rsidRDefault="002D33DD" w:rsidP="000E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DF"/>
    <w:rsid w:val="00021A2E"/>
    <w:rsid w:val="000652F4"/>
    <w:rsid w:val="000D3A32"/>
    <w:rsid w:val="000D4129"/>
    <w:rsid w:val="000E52B4"/>
    <w:rsid w:val="002516D3"/>
    <w:rsid w:val="0025315C"/>
    <w:rsid w:val="00255ABF"/>
    <w:rsid w:val="002D33DD"/>
    <w:rsid w:val="00363789"/>
    <w:rsid w:val="00402A16"/>
    <w:rsid w:val="0051160B"/>
    <w:rsid w:val="005D1CFA"/>
    <w:rsid w:val="006C79D2"/>
    <w:rsid w:val="00733898"/>
    <w:rsid w:val="007B03E1"/>
    <w:rsid w:val="00881BA7"/>
    <w:rsid w:val="008B2AA6"/>
    <w:rsid w:val="008C7DCC"/>
    <w:rsid w:val="00A311DF"/>
    <w:rsid w:val="00B507C3"/>
    <w:rsid w:val="00BE0FA1"/>
    <w:rsid w:val="00C805C5"/>
    <w:rsid w:val="00CA59D9"/>
    <w:rsid w:val="00CC3BEF"/>
    <w:rsid w:val="00D9394B"/>
    <w:rsid w:val="00E00D8B"/>
    <w:rsid w:val="00E53BA0"/>
    <w:rsid w:val="00E64ED0"/>
    <w:rsid w:val="00E81DF9"/>
    <w:rsid w:val="00EB37B8"/>
    <w:rsid w:val="00F14932"/>
    <w:rsid w:val="00FE1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3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394B"/>
    <w:rPr>
      <w:rFonts w:ascii="宋体" w:eastAsia="宋体" w:hAnsi="宋体" w:cs="宋体"/>
      <w:b/>
      <w:bCs/>
      <w:kern w:val="36"/>
      <w:sz w:val="48"/>
      <w:szCs w:val="48"/>
    </w:rPr>
  </w:style>
  <w:style w:type="paragraph" w:styleId="a3">
    <w:name w:val="Normal (Web)"/>
    <w:basedOn w:val="a"/>
    <w:uiPriority w:val="99"/>
    <w:unhideWhenUsed/>
    <w:rsid w:val="00D939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394B"/>
    <w:rPr>
      <w:b/>
      <w:bCs/>
    </w:rPr>
  </w:style>
  <w:style w:type="paragraph" w:styleId="a5">
    <w:name w:val="Balloon Text"/>
    <w:basedOn w:val="a"/>
    <w:link w:val="Char"/>
    <w:uiPriority w:val="99"/>
    <w:semiHidden/>
    <w:unhideWhenUsed/>
    <w:rsid w:val="00D9394B"/>
    <w:rPr>
      <w:sz w:val="18"/>
      <w:szCs w:val="18"/>
    </w:rPr>
  </w:style>
  <w:style w:type="character" w:customStyle="1" w:styleId="Char">
    <w:name w:val="批注框文本 Char"/>
    <w:basedOn w:val="a0"/>
    <w:link w:val="a5"/>
    <w:uiPriority w:val="99"/>
    <w:semiHidden/>
    <w:rsid w:val="00D9394B"/>
    <w:rPr>
      <w:sz w:val="18"/>
      <w:szCs w:val="18"/>
    </w:rPr>
  </w:style>
  <w:style w:type="paragraph" w:styleId="a6">
    <w:name w:val="header"/>
    <w:basedOn w:val="a"/>
    <w:link w:val="Char0"/>
    <w:uiPriority w:val="99"/>
    <w:unhideWhenUsed/>
    <w:rsid w:val="000E52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E52B4"/>
    <w:rPr>
      <w:sz w:val="18"/>
      <w:szCs w:val="18"/>
    </w:rPr>
  </w:style>
  <w:style w:type="paragraph" w:styleId="a7">
    <w:name w:val="footer"/>
    <w:basedOn w:val="a"/>
    <w:link w:val="Char1"/>
    <w:uiPriority w:val="99"/>
    <w:unhideWhenUsed/>
    <w:rsid w:val="000E52B4"/>
    <w:pPr>
      <w:tabs>
        <w:tab w:val="center" w:pos="4153"/>
        <w:tab w:val="right" w:pos="8306"/>
      </w:tabs>
      <w:snapToGrid w:val="0"/>
      <w:jc w:val="left"/>
    </w:pPr>
    <w:rPr>
      <w:sz w:val="18"/>
      <w:szCs w:val="18"/>
    </w:rPr>
  </w:style>
  <w:style w:type="character" w:customStyle="1" w:styleId="Char1">
    <w:name w:val="页脚 Char"/>
    <w:basedOn w:val="a0"/>
    <w:link w:val="a7"/>
    <w:uiPriority w:val="99"/>
    <w:rsid w:val="000E52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3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394B"/>
    <w:rPr>
      <w:rFonts w:ascii="宋体" w:eastAsia="宋体" w:hAnsi="宋体" w:cs="宋体"/>
      <w:b/>
      <w:bCs/>
      <w:kern w:val="36"/>
      <w:sz w:val="48"/>
      <w:szCs w:val="48"/>
    </w:rPr>
  </w:style>
  <w:style w:type="paragraph" w:styleId="a3">
    <w:name w:val="Normal (Web)"/>
    <w:basedOn w:val="a"/>
    <w:uiPriority w:val="99"/>
    <w:unhideWhenUsed/>
    <w:rsid w:val="00D939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394B"/>
    <w:rPr>
      <w:b/>
      <w:bCs/>
    </w:rPr>
  </w:style>
  <w:style w:type="paragraph" w:styleId="a5">
    <w:name w:val="Balloon Text"/>
    <w:basedOn w:val="a"/>
    <w:link w:val="Char"/>
    <w:uiPriority w:val="99"/>
    <w:semiHidden/>
    <w:unhideWhenUsed/>
    <w:rsid w:val="00D9394B"/>
    <w:rPr>
      <w:sz w:val="18"/>
      <w:szCs w:val="18"/>
    </w:rPr>
  </w:style>
  <w:style w:type="character" w:customStyle="1" w:styleId="Char">
    <w:name w:val="批注框文本 Char"/>
    <w:basedOn w:val="a0"/>
    <w:link w:val="a5"/>
    <w:uiPriority w:val="99"/>
    <w:semiHidden/>
    <w:rsid w:val="00D9394B"/>
    <w:rPr>
      <w:sz w:val="18"/>
      <w:szCs w:val="18"/>
    </w:rPr>
  </w:style>
  <w:style w:type="paragraph" w:styleId="a6">
    <w:name w:val="header"/>
    <w:basedOn w:val="a"/>
    <w:link w:val="Char0"/>
    <w:uiPriority w:val="99"/>
    <w:unhideWhenUsed/>
    <w:rsid w:val="000E52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E52B4"/>
    <w:rPr>
      <w:sz w:val="18"/>
      <w:szCs w:val="18"/>
    </w:rPr>
  </w:style>
  <w:style w:type="paragraph" w:styleId="a7">
    <w:name w:val="footer"/>
    <w:basedOn w:val="a"/>
    <w:link w:val="Char1"/>
    <w:uiPriority w:val="99"/>
    <w:unhideWhenUsed/>
    <w:rsid w:val="000E52B4"/>
    <w:pPr>
      <w:tabs>
        <w:tab w:val="center" w:pos="4153"/>
        <w:tab w:val="right" w:pos="8306"/>
      </w:tabs>
      <w:snapToGrid w:val="0"/>
      <w:jc w:val="left"/>
    </w:pPr>
    <w:rPr>
      <w:sz w:val="18"/>
      <w:szCs w:val="18"/>
    </w:rPr>
  </w:style>
  <w:style w:type="character" w:customStyle="1" w:styleId="Char1">
    <w:name w:val="页脚 Char"/>
    <w:basedOn w:val="a0"/>
    <w:link w:val="a7"/>
    <w:uiPriority w:val="99"/>
    <w:rsid w:val="000E52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zfs</dc:creator>
  <cp:keywords/>
  <dc:description/>
  <cp:lastModifiedBy>zfs-535-liubn</cp:lastModifiedBy>
  <cp:revision>19</cp:revision>
  <cp:lastPrinted>2019-11-15T08:49:00Z</cp:lastPrinted>
  <dcterms:created xsi:type="dcterms:W3CDTF">2015-06-03T02:22:00Z</dcterms:created>
  <dcterms:modified xsi:type="dcterms:W3CDTF">2020-01-06T01:46:00Z</dcterms:modified>
</cp:coreProperties>
</file>